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D4171F" w:rsidRPr="008D25C8" w:rsidTr="0041797F">
        <w:tc>
          <w:tcPr>
            <w:tcW w:w="4786" w:type="dxa"/>
            <w:shd w:val="clear" w:color="auto" w:fill="auto"/>
            <w:vAlign w:val="center"/>
          </w:tcPr>
          <w:p w:rsidR="00D4171F" w:rsidRPr="008D25C8" w:rsidRDefault="00DB68D8" w:rsidP="00B6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31C2A9" wp14:editId="48057C13">
                  <wp:extent cx="2404559" cy="30194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2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341" cy="301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D4171F" w:rsidRPr="008D25C8" w:rsidRDefault="00D4171F" w:rsidP="00B677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Детский игровой комплекс</w:t>
            </w:r>
            <w:r w:rsidR="0088172B">
              <w:rPr>
                <w:rFonts w:ascii="Times New Roman" w:hAnsi="Times New Roman"/>
                <w:b/>
                <w:sz w:val="24"/>
                <w:szCs w:val="24"/>
              </w:rPr>
              <w:t xml:space="preserve"> 0929</w:t>
            </w:r>
          </w:p>
          <w:p w:rsidR="002F2EDF" w:rsidRPr="002F2EDF" w:rsidRDefault="00766049" w:rsidP="00B6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не менее: длина – 36</w:t>
            </w:r>
            <w:r w:rsidRPr="00766049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DB68D8">
              <w:rPr>
                <w:rFonts w:ascii="Times New Roman" w:hAnsi="Times New Roman"/>
                <w:sz w:val="24"/>
                <w:szCs w:val="24"/>
              </w:rPr>
              <w:t>0 мм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>,</w:t>
            </w:r>
            <w:r w:rsidR="00B67719">
              <w:rPr>
                <w:rFonts w:ascii="Times New Roman" w:hAnsi="Times New Roman"/>
                <w:sz w:val="24"/>
                <w:szCs w:val="24"/>
              </w:rPr>
              <w:t xml:space="preserve"> ширина – 106</w:t>
            </w:r>
            <w:r w:rsidR="006D76E9">
              <w:rPr>
                <w:rFonts w:ascii="Times New Roman" w:hAnsi="Times New Roman"/>
                <w:sz w:val="24"/>
                <w:szCs w:val="24"/>
              </w:rPr>
              <w:t>0 мм, высота – 332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2F2EDF" w:rsidRPr="002F2EDF" w:rsidRDefault="002F2EDF" w:rsidP="00B6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DF">
              <w:rPr>
                <w:rFonts w:ascii="Times New Roman" w:hAnsi="Times New Roman"/>
                <w:sz w:val="24"/>
                <w:szCs w:val="24"/>
              </w:rPr>
              <w:t>Комплекс состоит из одной вертикальной башни с двухскатной крышей, оснащен горкой и лестницей с перилами.</w:t>
            </w:r>
          </w:p>
          <w:p w:rsidR="00DB68D8" w:rsidRDefault="00DB68D8" w:rsidP="00DB68D8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с крышей, размеры не менее: высота </w:t>
            </w:r>
            <w:r w:rsidR="006D76E9">
              <w:rPr>
                <w:rFonts w:ascii="Times New Roman" w:hAnsi="Times New Roman"/>
                <w:sz w:val="24"/>
                <w:szCs w:val="24"/>
              </w:rPr>
              <w:t>– 332</w:t>
            </w:r>
            <w:r>
              <w:rPr>
                <w:rFonts w:ascii="Times New Roman" w:hAnsi="Times New Roman"/>
                <w:sz w:val="24"/>
                <w:szCs w:val="24"/>
              </w:rPr>
              <w:t>0 мм, ширина – 1000 мм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>, длина – 1000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Основание крыши изготовлено из влагостойкой фанеры, толщиной не менее 18 мм, скаты крыши - из влагостойкой фанеры, толщиной не менее 9 мм. 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Ограждение, имеет размеры не менее: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950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высота – 720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изготовлено из влагостойкой фанеры, толщиной не менее 18 мм. 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>составляет не менее 900 мм, и не более 950 мм.</w:t>
            </w:r>
          </w:p>
          <w:p w:rsidR="00DB68D8" w:rsidRDefault="00DB68D8" w:rsidP="00DB68D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 должна быть изготовлена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перила – из калиброванного пи</w:t>
            </w:r>
            <w:r>
              <w:rPr>
                <w:rFonts w:ascii="Times New Roman" w:hAnsi="Times New Roman"/>
                <w:sz w:val="24"/>
                <w:szCs w:val="24"/>
              </w:rPr>
              <w:t>ломатериала, толщиной не менее 4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>0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влагостойкой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DB68D8" w:rsidRDefault="00DB68D8" w:rsidP="00DB68D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Горка должна иметь габаритные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не менее: длина – 1870 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высота – 1690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и не более 90</w:t>
            </w:r>
            <w:r w:rsidRPr="008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 бортами из березовой влагостойкой фанеры, высотой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защитную перекладину,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изготовленную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CB1686" w:rsidRDefault="00CB1686" w:rsidP="00CB168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площадки должен быть изготовлен из ламинированной нескользящей фанеры, толщиной не менее 18 мм. </w:t>
            </w:r>
          </w:p>
          <w:p w:rsidR="00CB1686" w:rsidRDefault="00CB1686" w:rsidP="00CB168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1686" w:rsidRPr="007F42E3" w:rsidRDefault="00CB1686" w:rsidP="00CB168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CB1686" w:rsidRDefault="00CB1686" w:rsidP="00CB168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площадках, крепеж оцинкован.</w:t>
            </w:r>
          </w:p>
          <w:p w:rsidR="00CB1686" w:rsidRDefault="00CB1686" w:rsidP="00CB168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CB1686" w:rsidRDefault="00CB1686" w:rsidP="00CB1686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CB1686" w:rsidRPr="005A1BEB" w:rsidRDefault="00CB1686" w:rsidP="00CB168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  <w:r w:rsidR="00DB6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171F" w:rsidRPr="008D25C8" w:rsidRDefault="00D4171F" w:rsidP="00B6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6FE" w:rsidRDefault="003736FE" w:rsidP="00CB1686">
      <w:pPr>
        <w:spacing w:after="0" w:line="240" w:lineRule="auto"/>
      </w:pPr>
    </w:p>
    <w:sectPr w:rsidR="003736FE" w:rsidSect="00E32FF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8431C"/>
    <w:rsid w:val="00100252"/>
    <w:rsid w:val="00237DF0"/>
    <w:rsid w:val="002F2EDF"/>
    <w:rsid w:val="003736FE"/>
    <w:rsid w:val="0038431C"/>
    <w:rsid w:val="003C1205"/>
    <w:rsid w:val="0041797F"/>
    <w:rsid w:val="005A1C74"/>
    <w:rsid w:val="005C404C"/>
    <w:rsid w:val="006C3D47"/>
    <w:rsid w:val="006D76E9"/>
    <w:rsid w:val="00766049"/>
    <w:rsid w:val="007B510C"/>
    <w:rsid w:val="0088172B"/>
    <w:rsid w:val="00893B3B"/>
    <w:rsid w:val="009147A1"/>
    <w:rsid w:val="00A501C0"/>
    <w:rsid w:val="00B67719"/>
    <w:rsid w:val="00BA18B3"/>
    <w:rsid w:val="00CB1686"/>
    <w:rsid w:val="00D4171F"/>
    <w:rsid w:val="00DB68D8"/>
    <w:rsid w:val="00E32FFC"/>
    <w:rsid w:val="00F1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C5256-73E0-4517-BBC9-1E469E82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9AA1-B978-4F2B-A762-A09B2BC6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19</cp:revision>
  <dcterms:created xsi:type="dcterms:W3CDTF">2011-10-13T01:14:00Z</dcterms:created>
  <dcterms:modified xsi:type="dcterms:W3CDTF">2018-03-23T05:46:00Z</dcterms:modified>
</cp:coreProperties>
</file>